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360"/>
      </w:tblGrid>
      <w:tr w:rsidR="00E33BFE" w:rsidRPr="00C30C57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296B" w:rsidRDefault="009A296B" w:rsidP="00C05F5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Муниципальное казённое учреждение культуры </w:t>
            </w:r>
            <w:proofErr w:type="gramStart"/>
            <w:r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« </w:t>
            </w:r>
            <w:r w:rsidR="00BD6F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Зудовский</w:t>
            </w:r>
            <w:proofErr w:type="gramEnd"/>
            <w:r w:rsidR="00BD6F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центр культуры и досуга</w:t>
            </w:r>
            <w:r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 Болотнинского района Новосибирской области</w:t>
            </w:r>
          </w:p>
          <w:p w:rsidR="00E33BFE" w:rsidRPr="00C05F57" w:rsidRDefault="00E909FB" w:rsidP="00C05F5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Болотнинского района Новосибирской области</w:t>
            </w:r>
          </w:p>
          <w:p w:rsidR="00E33BFE" w:rsidRPr="00C05F57" w:rsidRDefault="009A296B" w:rsidP="00BD6FE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ИНН 541311</w:t>
            </w:r>
            <w:r w:rsidR="00BD6F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1537</w:t>
            </w:r>
            <w:r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КПП 541301001, ОКПО 758</w:t>
            </w:r>
            <w:r w:rsidR="00BD6F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67679</w:t>
            </w:r>
          </w:p>
        </w:tc>
      </w:tr>
      <w:tr w:rsidR="00E33BF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C05F57" w:rsidRDefault="00C05F57" w:rsidP="00C05F57">
            <w:pPr>
              <w:ind w:left="75" w:right="75"/>
              <w:jc w:val="center"/>
              <w:rPr>
                <w:rFonts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полное</w:t>
            </w:r>
            <w:proofErr w:type="spellEnd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учреждения</w:t>
            </w:r>
            <w:proofErr w:type="spellEnd"/>
          </w:p>
        </w:tc>
      </w:tr>
      <w:tr w:rsidR="00E33BFE">
        <w:tc>
          <w:tcPr>
            <w:tcW w:w="115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33BFE" w:rsidRPr="00C05F57" w:rsidRDefault="00FB2E0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 w:rsidR="001F5344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об утверждении учетной политики для целей бюджетного учета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20"/>
        <w:gridCol w:w="4890"/>
      </w:tblGrid>
      <w:tr w:rsidR="00E33BFE" w:rsidRPr="009A296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E909FB" w:rsidRDefault="00310CA5" w:rsidP="00BD6FE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с.</w:t>
            </w:r>
            <w:r w:rsid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D6F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Зудово</w:t>
            </w:r>
            <w:proofErr w:type="spellEnd"/>
            <w:r w:rsid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7F581D" w:rsidRDefault="00490F45" w:rsidP="00490F45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 w:rsidR="00D25A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.01.202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E33BFE" w:rsidRPr="009A296B" w:rsidTr="00C05F57">
        <w:tc>
          <w:tcPr>
            <w:tcW w:w="46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9A296B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9A296B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Во исполнение Закона от 06.12.2011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402-ФЗ и приказа Минфина от 01.12.2010 № 157н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 Утвердить учетную политику для целей бюджетного учета согласно приложению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ввести ее в действие с</w:t>
      </w:r>
      <w:r w:rsidR="00552D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 января 20</w:t>
      </w:r>
      <w:r w:rsidR="00F55DF5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490F45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года.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 Довести до всех подразделений и служб учреждения соответствующие документы,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необходимые для обеспечения реализации учетной политики в учреждении и организации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бюджетного учета, документооборота, санкционирования расходов учреждения.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3. Контроль за исполнением </w:t>
      </w:r>
      <w:r w:rsidR="00552DF2">
        <w:rPr>
          <w:rFonts w:hAnsi="Times New Roman" w:cs="Times New Roman"/>
          <w:color w:val="000000"/>
          <w:sz w:val="24"/>
          <w:szCs w:val="24"/>
          <w:lang w:val="ru-RU"/>
        </w:rPr>
        <w:t>распоряжения оставляю за собой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85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28"/>
        <w:gridCol w:w="300"/>
        <w:gridCol w:w="1565"/>
        <w:gridCol w:w="5563"/>
      </w:tblGrid>
      <w:tr w:rsidR="00E33BFE" w:rsidTr="00E246AC">
        <w:trPr>
          <w:gridAfter w:val="1"/>
          <w:wAfter w:w="5563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Pr="004902CF" w:rsidRDefault="00C05F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учреждения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E909FB" w:rsidRDefault="00E909F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Pr="00E909FB" w:rsidRDefault="00C30C5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Кружихин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  <w:bookmarkStart w:id="0" w:name="_GoBack"/>
            <w:bookmarkEnd w:id="0"/>
          </w:p>
        </w:tc>
      </w:tr>
      <w:tr w:rsidR="00E33BFE" w:rsidRPr="00D25A3A" w:rsidTr="00E246AC">
        <w:tc>
          <w:tcPr>
            <w:tcW w:w="9856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91CBF" w:rsidRDefault="00891CBF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91CBF" w:rsidRDefault="00891CBF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33BFE" w:rsidRPr="00B72C10" w:rsidRDefault="00C05F57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Приложение</w:t>
            </w:r>
          </w:p>
          <w:p w:rsidR="00E33BFE" w:rsidRPr="007F581D" w:rsidRDefault="00C05F57" w:rsidP="00490F45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 </w:t>
            </w:r>
            <w:r w:rsidR="00FB2E0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приказу</w:t>
            </w: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490F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 w:rsidR="00D25A3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.01.202</w:t>
            </w:r>
            <w:r w:rsidR="00490F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="00D15F8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E33BFE" w:rsidRPr="00D25A3A" w:rsidTr="00E246AC">
        <w:tc>
          <w:tcPr>
            <w:tcW w:w="9856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B72C10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3BFE" w:rsidRPr="00B72C10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Pr="00C05F57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Учетная политика для целей бюджетного учета</w:t>
      </w:r>
    </w:p>
    <w:p w:rsidR="00FD1C3D" w:rsidRPr="00C05F57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765E2" w:rsidRDefault="00FD1C3D" w:rsidP="004765E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Учетная политика </w:t>
      </w:r>
      <w:r w:rsidR="004765E2" w:rsidRPr="009A296B">
        <w:rPr>
          <w:rFonts w:hAnsi="Times New Roman" w:cs="Times New Roman"/>
          <w:color w:val="000000"/>
          <w:sz w:val="24"/>
          <w:szCs w:val="24"/>
          <w:lang w:val="ru-RU"/>
        </w:rPr>
        <w:t>Муниципальное казённое учреждение культуры «</w:t>
      </w:r>
      <w:r w:rsidR="00EB3796" w:rsidRPr="00EB3796">
        <w:rPr>
          <w:rFonts w:hAnsi="Times New Roman" w:cs="Times New Roman"/>
          <w:color w:val="000000"/>
          <w:sz w:val="24"/>
          <w:szCs w:val="24"/>
          <w:lang w:val="ru-RU"/>
        </w:rPr>
        <w:t>Зудовский центр культуры и досуга</w:t>
      </w:r>
      <w:r w:rsidR="004765E2" w:rsidRPr="009A296B">
        <w:rPr>
          <w:rFonts w:hAnsi="Times New Roman" w:cs="Times New Roman"/>
          <w:color w:val="000000"/>
          <w:sz w:val="24"/>
          <w:szCs w:val="24"/>
          <w:lang w:val="ru-RU"/>
        </w:rPr>
        <w:t>» Болотнинского района Новосибирской области</w:t>
      </w:r>
    </w:p>
    <w:p w:rsidR="00FD1C3D" w:rsidRPr="00C05F57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D1C3D" w:rsidRDefault="00FD1C3D" w:rsidP="00FD1C3D">
      <w:pPr>
        <w:numPr>
          <w:ilvl w:val="0"/>
          <w:numId w:val="13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 приказом Минфина от 01.12.2010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Единому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счетов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 157н);</w:t>
      </w:r>
    </w:p>
    <w:p w:rsidR="00FD1C3D" w:rsidRDefault="00FD1C3D" w:rsidP="00FD1C3D">
      <w:pPr>
        <w:numPr>
          <w:ilvl w:val="0"/>
          <w:numId w:val="13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162н «Об утверждении Плана счетов бюджетного учета и Инструкции по 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 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 162н);</w:t>
      </w:r>
    </w:p>
    <w:p w:rsidR="00FD1C3D" w:rsidRDefault="00FD1C3D" w:rsidP="00FD1C3D">
      <w:pPr>
        <w:numPr>
          <w:ilvl w:val="0"/>
          <w:numId w:val="13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06.06.2019 № 85н «О Порядке формирования и применения кодов бюджетной классификации Российской Федерации, их структуре и принципах назначения» (далее – приказ № 85н);</w:t>
      </w:r>
    </w:p>
    <w:p w:rsidR="00FD1C3D" w:rsidRDefault="00FD1C3D" w:rsidP="00FD1C3D">
      <w:pPr>
        <w:numPr>
          <w:ilvl w:val="0"/>
          <w:numId w:val="13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Минфина от 29.11.2017 № 209н «Об утверждении Порядка применения классификации операций сектора государственного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управления»(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далее – приказ № 209н);</w:t>
      </w:r>
    </w:p>
    <w:p w:rsidR="00FD1C3D" w:rsidRDefault="00FD1C3D" w:rsidP="00FD1C3D">
      <w:pPr>
        <w:numPr>
          <w:ilvl w:val="0"/>
          <w:numId w:val="13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Минфина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 52н);</w:t>
      </w:r>
    </w:p>
    <w:p w:rsidR="00FD1C3D" w:rsidRDefault="00FD1C3D" w:rsidP="00FD1C3D">
      <w:pPr>
        <w:numPr>
          <w:ilvl w:val="0"/>
          <w:numId w:val="13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федеральными стандартами бухгалтерского учета государственных финансов, утвержденными приказами Минфина от 31.12.2016 № 256н, 257н, 258н, 259н, 260н (далее – соответственно СГС «Концептуальные основы бухучета и отчетности», СГС «Основные средства», СГС «Аренда», СГС «Обесценение активов», СГС «Представление бухгалтерской (финансовой) отчетности»), от 30.12.2017 № 274н, 275н, 277н, 278н (далее – соответственно СГС «Учетная политика, оценочные значения и ошибки», СГС «События после отчетной даты», СГС «Информация о связанных сторонах», СГС «Отчет о движении денежных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средств»), от 27.02.2018 № 32н (далее – СГС «Доходы»), от 28.02.2018 № 34н (далее – СГС «Непроизведенные активы»), от 30.05.2018 №122н, 124н (далее – соответственно СГС «Влияние изменений курсов иностранных валют», СГС «Резервы»), от 07.12.2018 № 256н (далее – СГС «Запасы»), от 29.06.2018 № 145н (далее – СГС «Долгосрочные договоры»), от 15.11.2019 № 181н, 182н, 183н, 184н (далее – соответственно СГС «Нематериальные активы», СГС «Затраты по заимствованиям», СГС «Совместная деятельность», СГС «Выплаты персоналу»), от 30.06.2020 № 129н (далее – СГС «Финансовые инструменты»).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Используемые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термины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сокращения</w:t>
      </w:r>
      <w:proofErr w:type="spellEnd"/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9360" w:type="dxa"/>
        <w:tblLook w:val="0600" w:firstRow="0" w:lastRow="0" w:firstColumn="0" w:lastColumn="0" w:noHBand="1" w:noVBand="1"/>
      </w:tblPr>
      <w:tblGrid>
        <w:gridCol w:w="4628"/>
        <w:gridCol w:w="4732"/>
      </w:tblGrid>
      <w:tr w:rsidR="00FD1C3D" w:rsidTr="00537A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Расшифровка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FD1C3D" w:rsidRPr="00C30C57" w:rsidTr="00537A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5F8E" w:rsidRDefault="00D15F8E" w:rsidP="00D15F8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5F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Учетная политика </w:t>
            </w:r>
            <w:r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Муниципальное казённое учреждение культуры «</w:t>
            </w:r>
            <w:r w:rsidR="00EB3796" w:rsidRPr="00EB37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Зудовский центр культуры и досуга</w:t>
            </w:r>
            <w:r w:rsidRPr="009A29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 Болотнинского района Новосибирской области</w:t>
            </w:r>
          </w:p>
          <w:p w:rsidR="00FD1C3D" w:rsidRDefault="00FD1C3D" w:rsidP="00537A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1C3D" w:rsidRPr="00C30C57" w:rsidTr="00537A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1–17 разряды номера счета в соответствии с Рабочим планом счетов</w:t>
            </w:r>
          </w:p>
        </w:tc>
      </w:tr>
      <w:tr w:rsidR="00FD1C3D" w:rsidTr="00537A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26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разряд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соответствующая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подстатья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КОСГУ</w:t>
            </w:r>
          </w:p>
        </w:tc>
      </w:tr>
      <w:tr w:rsidR="00FD1C3D" w:rsidTr="00537A35">
        <w:tc>
          <w:tcPr>
            <w:tcW w:w="58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Общие положения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 структурное подразделение – бухгалтерия, возглавляемая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главным бухгалтером. Сотрудники бухгалтерии руководствуются в работе Положением 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бухгалтерии, должностными инструкциями.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Ответственным за ведение бюджетного учета в учреждении является главный бухгалтер.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часть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 статьи 7 Закона от 06.12.2011 № 402-ФЗ, пункт 4 Инструкции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Единому плану счетов № 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 Бюджетный учет в обособленных подразделениях учреждения, имеющих лицевые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счета в территориальных органах Федерального казначейства, ведут бухгалтерии этих подразделений.</w:t>
      </w:r>
    </w:p>
    <w:p w:rsidR="00FD1C3D" w:rsidRDefault="00FD1C3D" w:rsidP="00FD1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0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3. В учреждении действуют постоянные комиссии: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комиссия по поступлению и выбытию активов (приложение 1);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инвентаризационная комиссия (приложение 2);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4.  </w:t>
      </w:r>
      <w:r>
        <w:rPr>
          <w:bCs/>
          <w:szCs w:val="20"/>
          <w:lang w:val="ru-RU"/>
        </w:rPr>
        <w:t>Порядок проведения инвентаризации активов и обязательств (приложение 14)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 Учреждение публикует основные положения учетной политики на своем официальном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сайте путем размещения копий документов учетной политики.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9 СГС «Учетная политика, оценочные значения и ошибки».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При внесении изменений в учетную политику главный бухгалтер оценивает в целях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сопоставления отчетности существенность изменения показателей, отражающих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финансовое положение, финансовые результаты деятельности учреждения и движение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его денежных средств на основе своего профессионального суждения. Также на основе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профессионального суждения оценивается существенность ошибок отчетного периода,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выявленных после утверждения отчетности, в целях принятия решения о раскрытии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Пояснениях к отчетности информации о существенных ошибках.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17, 20, 32 СГС «Учетная политика, оценочные значения и ошибки».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Технология обработки учетной информации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Бухучет ведется в электронном виде с применением программных продуктов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«АС Бюджет».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Инструкции к Единому плану счетов № 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С использованием телекоммуникационных каналов связи и электронной подписи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бухгалтерия учреждения осуществляет электронный документооборот по следующим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направлениям:</w:t>
      </w:r>
    </w:p>
    <w:p w:rsidR="00FD1C3D" w:rsidRDefault="00FD1C3D" w:rsidP="00FD1C3D">
      <w:pPr>
        <w:numPr>
          <w:ilvl w:val="0"/>
          <w:numId w:val="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система электронного документооборота с территориальным органом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Федерального казначейства;</w:t>
      </w:r>
    </w:p>
    <w:p w:rsidR="00FD1C3D" w:rsidRDefault="00FD1C3D" w:rsidP="00FD1C3D">
      <w:pPr>
        <w:numPr>
          <w:ilvl w:val="0"/>
          <w:numId w:val="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передача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бухгалтерской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учредителю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по налогам, сборам и иным обязательным платежам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инспекцию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Федеральной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службы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в отделение Пенсионного фонда России;</w:t>
      </w:r>
    </w:p>
    <w:p w:rsidR="00FD1C3D" w:rsidRDefault="00FD1C3D" w:rsidP="00FD1C3D">
      <w:pPr>
        <w:numPr>
          <w:ilvl w:val="0"/>
          <w:numId w:val="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размещение информации о деятельности учреждения на официальном сайте</w:t>
      </w:r>
      <w:r>
        <w:rPr>
          <w:rFonts w:hAnsi="Times New Roman" w:cs="Times New Roman"/>
          <w:color w:val="000000"/>
          <w:sz w:val="24"/>
          <w:szCs w:val="24"/>
        </w:rPr>
        <w:t> bus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gov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1C3D" w:rsidRDefault="00FD1C3D" w:rsidP="00FD1C3D">
      <w:pPr>
        <w:numPr>
          <w:ilvl w:val="0"/>
          <w:numId w:val="2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…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Без надлежащего оформления первичных (сводных) учетных документов любые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исправления (добавление новых записей) в электронных базах данных не допускаются.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Правила документооборота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Порядок и сроки передачи первичных учетных документов для отражения в бухучете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устанавливаются в соответствии с приложением 13 к настоящей учетной политике.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22 СГС «Концептуальные основы бухучета и отчетности», подпункт «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д»  пункта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9 СГС «Учетная политика, оценочные значения и ошибки».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При проведении хозяйственных операций, для оформления которых не предусмотрены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типовые формы первичных документов, используются: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самостоятельно разработанные формы, которые приведены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12;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унифицированные формы, дополненные необходимыми реквизитами.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25–26 СГС «Концептуальные основы бухучета и отчетности»,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подпункт  «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г» пункта 9 СГС «Учетная политика, оценочные значения и ошибки».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Право подписи учетных документов предоставлено должностным лицам,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перечисленным в приложении 3.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Учреждение использует унифицированные формы первичных документов,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перечисленные в приложении 12 к приказу № 52н. При необходимости формы регистров,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которые не унифицированы, разрабатываются самостоятельно.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подпункт «г» пункта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9 СГС «Учетная политика, оценочные значения и ошибки».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5. При поступлении документов на иностранном языке построчный перевод таких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документов на русский язык осуществляется сотрудником учреждения, который владеет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иностранным языком. В случае невозможности перевода документа переводы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составляются на отдельном документе, заверяются подписью сотрудника, составившего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перевод, и прикладываются к первичным документам.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случае невозможности перевода документа привлекается профессиональный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переводчик. Перевод денежных (финансовых) документов заверяется нотариусом.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Если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иностранном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языке составлены по типовой форме (идентичны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количеству граф, их названию, расшифровке работ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 и отличаются только суммой),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то в отношении их постоянных показателей достаточно однократного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 русский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язык. Впоследствии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переводить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нужно только изменяющиеся показатели данного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первичного документа.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Основание: пункт 31 СГС «Концептуальные основы бухучета и отчетности».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Формирование электронных регистров бухучета осуществляется в следующем порядке: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– в регистрах в хронологическом порядке систематизируются первичные (сводные)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учетные документы по датам совершения операций, дате принятия к учету первичного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журнал регистрации приходных и расходных ордеров составляется ежемесячно,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последний рабочий день месяца;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инвентарная карточка учета основных средств оформляется при принятии объекта 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учету, по мере внесения изменений (данных о переоценке, модернизации, реконструкции,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консервации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 при выбытии. При отсутствии указанных событий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ежегодно,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последний рабочий день года, со сведениями о начисленной амортизации;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инвентарная карточка группового учета основных средств оформляется при принятии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объектов к учету, по мере внесения изменений (данных о переоценке, модернизации,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реконструкции, консервации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 при выбытии;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опись инвентарных карточек по учету основных средств, инвентарный список основных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средств, реестр карточек заполняются ежегодно, в последний день года;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книга учета бланков строгой отчетности, книга аналитического учета депонированной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зарплаты и стипендий заполняются ежемесячно, в последний день месяца;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журналы операций, главная книга заполняются ежемесячно;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другие регистры, не указанные выше, заполняются по мере необходимости, если иное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 установлено законодательством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РФ.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 Журнал операций расчетов по оплате труда, денежному довольствию и стипендиям (ф.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0504071) ведется раздельно по кодам финансового обеспечения деятельности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раздельно по счетам: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1.302.11.000 «Расчеты по заработной плате» и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1.302.13.000 «Расчеты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начислениям на выплаты по оплате труда»;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1.302.12.000 «Расчеты по прочим несоциальным выплатам персоналу в денежной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форме» и КБК 1.302.14.000 «Расчеты по прочим несоциальным выплатам персоналу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натуральной форме»;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 Х.302.66.000 «Расчеты по социальным пособиям и компенсациям персоналу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денежной форме» и КБК Х.302.67.000 «Расчеты по социальным компенсациям персоналу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натуральной форме»;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1.302.96.000 «Расчеты по иным выплатам текущего характера физическим лицам».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257 Инструкции к Единому плану счетов № 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Журналам операций присваиваются номера согласно приложению 4. Журналы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операций подписываются главным бухгалтером и бухгалтером, составившим журнал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операций.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 Первичные и сводные учетные документы, бухгалтерские регистры составляются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форме электронного документа, подписанного квалифицированной электронной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подписью. При отсутствии возможности составить документ, регистр в электронном виде,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он может быть составлен на бумажном носителе и заверен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собственноручной подписью.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Список сотрудников, имеющих право подписи электронных документов и регистров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бухучета, утверждается отдельным приказом.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5 статьи 9 Закона от 06.12.2011 № 402-ФЗ, пункт 11 Инструкции 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Единому плану счетов № 157н, пункт 32 СГС «Концептуальные основы бухучета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отчетности», Методические указания, утвержденные приказом Минфина от 30.03.2015 №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52н, статья 2 Закона от 06.04.2011 № 63-ФЗ.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10.Электронные документы, подписанные квалифицированной электронной подписью,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хранятся в электронном виде на съемных носителях информации в соответствии 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порядком учета и хранения съемных носителей информации. При этом ведется журнал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и движения электронных носителей. Журнал должен быть пронумерован,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прошнурован и скреплен печатью учреждения. Ведение и хранение журнала возлагается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приказом руководителя на ответственного сотрудника учреждения.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 СГС «Концептуальные основы бухучета и отчетности», пункт 14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Инструкции к Единому плану счетов № 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 В деятельности учреждения используются следующие бланки строгой отчетности: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трудовых книжек и вкладышей к ним;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дипломов, вкладышей к дипломам, свидетельств;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платежных квитанций по форме № 0504510.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Учет бланков ведется по стоимости их приобретения.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337 Инструкции к Единому плану счетов № 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 Особенности применения первичных документов: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12.1. При приобретении и реализации основных средств, нематериальных и непроизведенных активов составляется Акт о приеме-передаче объектов нефинансовых активов (ф. 0504101).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12.2. При ремонте нового оборудования, неисправность которого была выявлена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монтаже, составляется акт о выявленных дефектах оборудования по форме № ОС-16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0306008).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12.3. В Табеле учета использования рабочего времени (ф. 0504421) регистрируются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случаи отклонений от нормального использования рабочего времени, установленного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Правилами трудового распорядка.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Табель учета использования рабочего времени (ф. 0504421) дополнен условными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обозначениями.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5835"/>
        <w:gridCol w:w="990"/>
      </w:tblGrid>
      <w:tr w:rsidR="00FD1C3D" w:rsidTr="00537A3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</w:p>
        </w:tc>
      </w:tr>
      <w:tr w:rsidR="00FD1C3D" w:rsidTr="00537A3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Дополнительные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выходные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дни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оплачиваемые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ОВ</w:t>
            </w:r>
          </w:p>
        </w:tc>
      </w:tr>
      <w:tr w:rsidR="00FD1C3D" w:rsidTr="00537A3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Заключение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стражу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ЗС</w:t>
            </w:r>
          </w:p>
        </w:tc>
      </w:tr>
      <w:tr w:rsidR="00FD1C3D" w:rsidTr="00537A3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Нахождение в пути к месту вахты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обратно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ДП</w:t>
            </w:r>
          </w:p>
        </w:tc>
      </w:tr>
      <w:tr w:rsidR="00FD1C3D" w:rsidTr="00537A3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3D" w:rsidRDefault="00FD1C3D" w:rsidP="00537A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1C3D" w:rsidTr="00537A35">
        <w:tc>
          <w:tcPr>
            <w:tcW w:w="583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1C3D" w:rsidRDefault="00FD1C3D" w:rsidP="00537A3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Расширено применение буквенного кода «Г» – Выполнение государственных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обязанностей – для случаев выполнения сотрудниками общественных обязанностей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(например, для регистрации дней медицинского освидетельствования перед сдачей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крови, дней сдачи крови, дней, когда сотрудник отсутствовал по вызову в военкомат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военные сборы, по вызову в суд и другие госорганы в качестве свидетеля и пр.).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IV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План счетов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ведется с использованием Рабочего плана счетов (приложение 5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),  разработанного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соответствии с Инструкцией к Единому плану счетов № 157н, Инструкцией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 и 6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19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отчетности», подпункт «б» пункта 9 СГС «Учетная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политика, оценочные значения и ошибки».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Кроме забалансовых счетов, утвержденных в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157н, учреждение применяет дополнительные забалансовые счета, утвержденные в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Рабочем  плане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счетов (приложении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5).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332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19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Учет отдельных видов имущества и обязательств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ведется по первичным документам, которые проверены сотрудниками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 в соответствии с Положением о внутреннем финансовом контроле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(приложение 11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: пункт 3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23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 Для случаев, которые не установлены в федеральных стандартах и других нормативно-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правовых актах, регулирующих бухучет, метод определения справедливой стоимости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выбирает комиссия учреждения по поступлению и выбытию активов».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54 СГС «Концептуальные основы бухучета и отчетности».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В случае если для показателя, необходимого для ведения бухгалтерского учета, не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 метод оценки в законодательстве и в настоящей учетной политике, 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величина оценочного показателя определяется профессиональным суждением главного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6 СГС «Учетная политика, оценочные значения и ошибки».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Основные средства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2.1. Учреждение учитывает в составе основных средств материальные объекты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имущества, независимо от их стоимости, со сроком полезного использования более 12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месяцев, а также штампы, печати и инвентарь. Перечень объектов, которые относятся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группе «Инвентарь производственный и хозяйственный», приведен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Не считается существенной стоимость до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000 руб. за один имущественный объект.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Необходимость объединения и конкретный перечень объединяемых объектов определяет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комиссия учреждения по поступлению и выбытию активов.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10 СГС «Основные средства».</w:t>
      </w:r>
    </w:p>
    <w:p w:rsidR="00FD1C3D" w:rsidRDefault="00FD1C3D" w:rsidP="00FD1C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2.2. Перечень должностей сотрудников, с которыми учреждение заключает договоры о полной материальной ответственности, приведен в приложении 7. </w:t>
      </w:r>
    </w:p>
    <w:p w:rsidR="00FD1C3D" w:rsidRDefault="00FD1C3D" w:rsidP="00FD1C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  </w:t>
      </w:r>
    </w:p>
    <w:p w:rsidR="00FD1C3D" w:rsidRDefault="00FD1C3D" w:rsidP="00FD1C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Уникальный инвентарный номер состоит из десяти знаков и присваивается в порядке: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1-й разряд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амортизационная группа, к которой отнесен объект при принятии к учету (при  отнесении инвентарного объекта к 10-й амортизационной группе в данном разряде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проставляется «0»);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2–4-й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код объекта учета синтетического счета в Плане счетов бюджетного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(приложение 1 к приказу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5–6-й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код группы и вида синтетического счета Плана счетов бюджетного учета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(приложение 1 к приказу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7–10-й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порядковый номер нефинансового актива.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9 СГС «Основные средства», пункт 46 Инструкции к Единому плану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2.4. Присвоенный объекту инвентарный номер обозначается путем нанесения номера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инвентарный объект краской или водостойким маркером.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В случае если объект является сложным (комплексом конструктивно сочлененных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предметов), инвентарный номер обозначается на каждом составляющем элементе тем 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способом, что и на сложном объекте.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2.5. Затраты по замене отдельных составных частей объекта основных средств, в том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числе при капитальном ремонте, включаются в момент их возникновения в стоимость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объекта. Одновременно с его стоимости списывается в текущие расходы стоимость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заменяемых (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выбываемых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) составных частей.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следующим</w:t>
      </w:r>
      <w:proofErr w:type="spellEnd"/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D1C3D" w:rsidRDefault="00FD1C3D" w:rsidP="00FD1C3D">
      <w:pPr>
        <w:numPr>
          <w:ilvl w:val="0"/>
          <w:numId w:val="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инвентарь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производственный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хозяйственный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5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многолетние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насаждения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27 СГС «Основные средства».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2.6. В случае частичной ликвидации или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разукомплектации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 основного средства,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если стоимость ликвидируемых (разукомплектованных) частей не выделена в документах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поставщика, стоимость таких частей определяется пропорционально следующему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показателю (в порядке убывания важности):</w:t>
      </w:r>
    </w:p>
    <w:p w:rsidR="00FD1C3D" w:rsidRDefault="00FD1C3D" w:rsidP="00FD1C3D">
      <w:pPr>
        <w:numPr>
          <w:ilvl w:val="0"/>
          <w:numId w:val="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площади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объему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весу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6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иному показателю, установленному комиссией по поступлению и выбытию активов.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2.7. Затраты на создание активов при проведении регулярных осмотров на предмет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наличия дефектов, являющихся обязательным условием их эксплуатации, а также при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проведении ремонтов формируют объем произведенных капитальных вложений 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дальнейшим признанием в стоимости объекта основных средств. Одновременно учтенная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ранее в стоимости объекта основных средств сумма затрат на проведение предыдущего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ремонта подлежит списанию в расходы текущего периода.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D1C3D" w:rsidRDefault="00FD1C3D" w:rsidP="00FD1C3D">
      <w:pPr>
        <w:numPr>
          <w:ilvl w:val="0"/>
          <w:numId w:val="7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7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28 СГС «Основные средства».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2.8. Начисление амортизации осуществляется следующим образом: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методом уменьшаемого остатка с применением коэффициента 2 – на основные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средства группы «Транспортные средства», а также на компьютерное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оборудование и сотовые телефоны;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линейным методом – на остальные объекты основных средств.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36, 37 СГС «Основные средства».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2.9. В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когда установлены одинаковые сроки полезного использования и метод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расчета амортизации всех структурных частей единого объекта основных средств,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учреждение объединяет такие части для определения суммы амортизации.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40 СГС «Основные средства».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2.10. При переоценке объекта основных средств накопленная амортизация на дату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переоценки пересчитывается пропорционально изменению первоначальной стоимости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 таким образом, чтобы его остаточная стоимость после переоценки равнялась его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переоцененной стоимости. При этом балансовая стоимость и накопленная амортизация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увеличиваются (умножаются) на одинаковый коэффициент таким образом, чтобы при 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суммировании получить переоцененную стоимость на дату проведения переоценки.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41 СГС «Основные средства».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2.11. Срок полезного использования объектов основных средств устанавливает комиссия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поступлению и выбытию в соответствии с пунктом 35 СГС «Основные средства».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Состав комиссии по поступлению и выбытию активов установлен в приложении 1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настоящей Учетной политики.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2.13. Локально-вычислительная сеть (ЛВС) и охранно-пожарная сигнализация (ОПС) как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отдельные инвентарные объекты не учитываются. Отдельные элементы ЛВС и ОПС,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которые соответствуют критериям основных средств, установленным СГС «Основные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средства», учитываются как отдельные основные средства. Элементы ЛВС или ОПС, для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которых установлен одинаковый срок полезного использования, учитываются как единый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инвентарный объект в порядке, установленном в пункте 2.2 раздела </w:t>
      </w:r>
      <w:r>
        <w:rPr>
          <w:rFonts w:hAnsi="Times New Roman" w:cs="Times New Roman"/>
          <w:color w:val="000000"/>
          <w:sz w:val="24"/>
          <w:szCs w:val="24"/>
        </w:rPr>
        <w:t>V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настоящей Учетной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политики.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2.14. Расходы на доставку нескольких имущественных объектов распределяются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первоначальную стоимость этих объектов пропорционально их стоимости, указанной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договоре поставки.</w:t>
      </w:r>
    </w:p>
    <w:p w:rsidR="00FD1C3D" w:rsidRDefault="00FD1C3D" w:rsidP="00FD1C3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color w:val="000000"/>
          <w:sz w:val="24"/>
          <w:szCs w:val="24"/>
        </w:rPr>
        <w:t>2.15. Передача в пользование объектов, которые содержатся за счет учреждения,</w:t>
      </w:r>
      <w:r>
        <w:br/>
      </w:r>
      <w:r>
        <w:rPr>
          <w:color w:val="000000"/>
          <w:sz w:val="24"/>
          <w:szCs w:val="24"/>
        </w:rPr>
        <w:t xml:space="preserve"> отражается как внутреннее перемещение. Учет таких объектов ведется на</w:t>
      </w:r>
      <w:r>
        <w:br/>
      </w:r>
      <w:r>
        <w:rPr>
          <w:color w:val="000000"/>
          <w:sz w:val="24"/>
          <w:szCs w:val="24"/>
        </w:rPr>
        <w:t xml:space="preserve"> дополнительном </w:t>
      </w:r>
      <w:proofErr w:type="spellStart"/>
      <w:r>
        <w:rPr>
          <w:color w:val="000000"/>
          <w:sz w:val="24"/>
          <w:szCs w:val="24"/>
        </w:rPr>
        <w:t>забалансовом</w:t>
      </w:r>
      <w:proofErr w:type="spellEnd"/>
      <w:r>
        <w:rPr>
          <w:color w:val="000000"/>
          <w:sz w:val="24"/>
          <w:szCs w:val="24"/>
        </w:rPr>
        <w:t xml:space="preserve"> счете 43П «Имущество, переданное в пользование, – не</w:t>
      </w:r>
      <w:r>
        <w:br/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объ</w:t>
      </w:r>
      <w:proofErr w:type="spellEnd"/>
      <w:r>
        <w:rPr>
          <w:sz w:val="28"/>
          <w:szCs w:val="28"/>
        </w:rPr>
        <w:t xml:space="preserve">      </w:t>
      </w:r>
    </w:p>
    <w:p w:rsidR="00FD1C3D" w:rsidRPr="004E6EE8" w:rsidRDefault="00FD1C3D" w:rsidP="00FD1C3D">
      <w:pPr>
        <w:pStyle w:val="pcenter"/>
        <w:shd w:val="clear" w:color="auto" w:fill="FFFFFF"/>
        <w:spacing w:before="0" w:beforeAutospacing="0"/>
        <w:jc w:val="center"/>
        <w:rPr>
          <w:rFonts w:asciiTheme="minorHAnsi" w:hAnsiTheme="minorHAnsi" w:cstheme="minorHAnsi"/>
          <w:color w:val="212529"/>
        </w:rPr>
      </w:pPr>
      <w:bookmarkStart w:id="1" w:name="101613"/>
      <w:bookmarkEnd w:id="1"/>
      <w:r w:rsidRPr="004E6EE8">
        <w:rPr>
          <w:rFonts w:asciiTheme="minorHAnsi" w:hAnsiTheme="minorHAnsi" w:cstheme="minorHAnsi"/>
          <w:color w:val="212529"/>
        </w:rPr>
        <w:t>2.16 .</w:t>
      </w:r>
      <w:hyperlink r:id="rId5" w:anchor="100364" w:history="1">
        <w:r w:rsidRPr="004E6EE8">
          <w:rPr>
            <w:rFonts w:asciiTheme="minorHAnsi" w:hAnsiTheme="minorHAnsi" w:cstheme="minorHAnsi"/>
            <w:color w:val="4272D7"/>
            <w:u w:val="single"/>
          </w:rPr>
          <w:t>Счет</w:t>
        </w:r>
      </w:hyperlink>
      <w:r w:rsidRPr="004E6EE8">
        <w:rPr>
          <w:rFonts w:asciiTheme="minorHAnsi" w:hAnsiTheme="minorHAnsi" w:cstheme="minorHAnsi"/>
          <w:color w:val="212529"/>
        </w:rPr>
        <w:t xml:space="preserve">  05 "Материальные ценности, </w:t>
      </w:r>
      <w:proofErr w:type="spellStart"/>
      <w:r w:rsidRPr="004E6EE8">
        <w:rPr>
          <w:rFonts w:asciiTheme="minorHAnsi" w:hAnsiTheme="minorHAnsi" w:cstheme="minorHAnsi"/>
          <w:color w:val="212529"/>
        </w:rPr>
        <w:t>оплаченныепо</w:t>
      </w:r>
      <w:proofErr w:type="spellEnd"/>
      <w:r w:rsidRPr="004E6EE8">
        <w:rPr>
          <w:rFonts w:asciiTheme="minorHAnsi" w:hAnsiTheme="minorHAnsi" w:cstheme="minorHAnsi"/>
          <w:color w:val="212529"/>
        </w:rPr>
        <w:t xml:space="preserve"> централизованному снабжению" предназначен для учета материальных ценностей, оплаченных субъектом учета, уполномоченным на централизованное заключение государственного (муниципального) контракта (договора) (далее - вышестоящее учреждение - заказчик) и отгруженных </w:t>
      </w:r>
      <w:r w:rsidRPr="004E6EE8">
        <w:rPr>
          <w:rFonts w:asciiTheme="minorHAnsi" w:hAnsiTheme="minorHAnsi" w:cstheme="minorHAnsi"/>
          <w:color w:val="212529"/>
        </w:rPr>
        <w:lastRenderedPageBreak/>
        <w:t>учреждениям (грузополучателям) в рамках централизованной закупки (далее - материальные ценности, оплаченные по централизованному снабжению).</w:t>
      </w:r>
    </w:p>
    <w:p w:rsidR="00FD1C3D" w:rsidRPr="004E6EE8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2" w:name="101614"/>
      <w:bookmarkEnd w:id="2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Принятие к учету на </w:t>
      </w:r>
      <w:proofErr w:type="spellStart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забалансовый</w:t>
      </w:r>
      <w:proofErr w:type="spellEnd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 </w:t>
      </w:r>
      <w:hyperlink r:id="rId6" w:anchor="100364" w:history="1">
        <w:r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05</w:t>
        </w:r>
      </w:hyperlink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 материальных ценностей отражается субъектом учета, уполномоченным на централизованное заключение государственного (муниципального) контракта (договора) (далее - вышестоящее учреждение - заказчик), на основании первичных документов, подтверждающих отгрузку материальных ценностей в пользу учреждения (грузополучателя), в сумме выплат на их приобретение.</w:t>
      </w:r>
    </w:p>
    <w:p w:rsidR="00FD1C3D" w:rsidRPr="004E6EE8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3" w:name="101615"/>
      <w:bookmarkEnd w:id="3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При получении вышестоящим учреждением - заказчиком подтверждения о получении учреждением (грузополучателем) материальных ценностей, отгруженных в их адрес, указанные ценности подлежат списанию с </w:t>
      </w:r>
      <w:proofErr w:type="spellStart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забалансового</w:t>
      </w:r>
      <w:proofErr w:type="spellEnd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учета по стоимости, по которой они ранее принимались к учету.</w:t>
      </w:r>
    </w:p>
    <w:p w:rsidR="00FD1C3D" w:rsidRPr="004818C4" w:rsidRDefault="00FD1C3D" w:rsidP="00FD1C3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12529"/>
          <w:sz w:val="24"/>
          <w:szCs w:val="24"/>
        </w:rPr>
      </w:pPr>
    </w:p>
    <w:p w:rsidR="00FD1C3D" w:rsidRPr="004818C4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4" w:name="102361"/>
      <w:bookmarkStart w:id="5" w:name="101685"/>
      <w:bookmarkEnd w:id="4"/>
      <w:bookmarkEnd w:id="5"/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>2.16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. </w:t>
      </w:r>
      <w:hyperlink r:id="rId7" w:anchor="002685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Счет</w:t>
        </w:r>
      </w:hyperlink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21</w:t>
      </w:r>
      <w:r w:rsidRPr="004818C4">
        <w:rPr>
          <w:rFonts w:ascii="Arial" w:eastAsia="Times New Roman" w:hAnsi="Arial" w:cs="Arial"/>
          <w:color w:val="212529"/>
          <w:sz w:val="24"/>
          <w:szCs w:val="24"/>
          <w:lang w:val="ru-RU" w:eastAsia="ru-RU"/>
        </w:rPr>
        <w:t xml:space="preserve"> 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Основные средства в эксплуатации предназначен для учета находящихся в эксплуатации учреждения объектов основных средств стоимостью до 10000 рублей включительно, за исключением объектов библиотечного фонда и объектов недвижимого имущества в целях обеспечения надлежащего контроля за их движением.</w:t>
      </w:r>
    </w:p>
    <w:p w:rsidR="00FD1C3D" w:rsidRPr="004818C4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6" w:name="000341"/>
      <w:bookmarkStart w:id="7" w:name="101686"/>
      <w:bookmarkEnd w:id="6"/>
      <w:bookmarkEnd w:id="7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Принятие к учету объектов основных средств осуществляется на основании первичного документа, подтверждающего ввод (передачу) объекта в эксплуатацию в условной оценке: один объект, один рубль, в случае утверждения учреждением в рамках формирования учетной политики иного порядка - по балансовой стоимости введенного в эксплуатацию объекта.</w:t>
      </w:r>
    </w:p>
    <w:p w:rsidR="00FD1C3D" w:rsidRPr="004818C4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8" w:name="101687"/>
      <w:bookmarkEnd w:id="8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Внутреннее перемещение объектов основных средств в учреждении отражается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21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 на основании оправдательных первичных документов путем изменения материально ответственного лица и (или) места хранения.</w:t>
      </w:r>
    </w:p>
    <w:p w:rsidR="00FD1C3D" w:rsidRPr="004818C4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9" w:name="000342"/>
      <w:bookmarkStart w:id="10" w:name="101688"/>
      <w:bookmarkEnd w:id="9"/>
      <w:bookmarkEnd w:id="10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Передача введенных (переданных) в эксплуатацию объектов основных средств в возмездное или безвозмездное пользование отражается на основании акта приема-передачи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 </w:t>
      </w:r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21 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путем изменения материально ответственного лица с одновременным отражением переданного объекта на соответствующем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счете "</w:t>
      </w:r>
      <w:hyperlink r:id="rId8" w:anchor="002693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Имущество</w:t>
        </w:r>
      </w:hyperlink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, переданное в возмездное пользование (аренду)" либо "</w:t>
      </w:r>
      <w:hyperlink r:id="rId9" w:anchor="002695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Имущество</w:t>
        </w:r>
      </w:hyperlink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, переданное в безвозмездное пользование".</w:t>
      </w:r>
    </w:p>
    <w:p w:rsidR="00FD1C3D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11" w:name="101689"/>
      <w:bookmarkEnd w:id="11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Выбытие объектов основных средств с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забалансового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учета, в том числе в связи с выявлением порчи, хищений, недостачи и (или) принятия решения о их списании (уничтожении), производится на основании Акта (Акта приема-передачи, Акта о списании)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стимости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, по которой объекты были ранее приняты к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учету.</w:t>
      </w:r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</w:t>
      </w:r>
    </w:p>
    <w:p w:rsidR="00FD1C3D" w:rsidRPr="004818C4" w:rsidRDefault="00FD1C3D" w:rsidP="00FD1C3D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по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>
        <w:rPr>
          <w:rFonts w:cstheme="minorHAnsi"/>
          <w:sz w:val="24"/>
          <w:szCs w:val="24"/>
          <w:lang w:val="ru-RU"/>
        </w:rPr>
        <w:t xml:space="preserve">21 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ведется в разрезе объектов имущества, ответственных лиц, местонахождений объектов (адресов).</w:t>
      </w:r>
    </w:p>
    <w:p w:rsidR="00FD1C3D" w:rsidRDefault="00FD1C3D" w:rsidP="00FD1C3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3. Нематериальные активы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3.1. Начисление амортизации осуществляется следующим образом:</w:t>
      </w:r>
    </w:p>
    <w:p w:rsidR="00FD1C3D" w:rsidRDefault="00FD1C3D" w:rsidP="00FD1C3D">
      <w:pPr>
        <w:numPr>
          <w:ilvl w:val="0"/>
          <w:numId w:val="14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линейным методом – на остальные объекты нематериальных активов.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30, 31 СГС «Нематериальные активы».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3.2. Не исключительные права пользования на результаты интеллектуальной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деятельности  со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сроком службы 12 месяцев и менее учитываются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01 в целях обеспечения контроля наличия, целевого использования и движения.</w:t>
      </w:r>
    </w:p>
    <w:p w:rsidR="00FD1C3D" w:rsidRPr="00493463" w:rsidRDefault="00FD1C3D" w:rsidP="00FD1C3D">
      <w:pPr>
        <w:rPr>
          <w:rFonts w:cstheme="minorHAnsi"/>
          <w:color w:val="000000"/>
          <w:sz w:val="24"/>
          <w:szCs w:val="24"/>
          <w:lang w:val="ru-RU"/>
        </w:rPr>
      </w:pP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по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hyperlink r:id="rId10" w:anchor="002645" w:history="1">
        <w:r>
          <w:rPr>
            <w:rFonts w:cstheme="minorHAnsi"/>
            <w:color w:val="4272D7"/>
            <w:sz w:val="24"/>
            <w:szCs w:val="24"/>
            <w:u w:val="single"/>
            <w:shd w:val="clear" w:color="auto" w:fill="FFFFFF"/>
            <w:lang w:val="ru-RU"/>
          </w:rPr>
          <w:t>счету 01</w:t>
        </w:r>
      </w:hyperlink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ведется в разрезе объектов имущества (имущественных прав), учетных (инвентарных, серийных, реестровых) номеров, местонахождений объектов (адресов), ответственных лиц, контрагентов (собственников, балансодержателей), правовых оснований, кодов классификации операций сектора государственного управления.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Arial" w:eastAsia="Times New Roman" w:hAnsi="Arial" w:cs="Arial"/>
          <w:color w:val="222222"/>
          <w:sz w:val="21"/>
          <w:szCs w:val="21"/>
          <w:lang w:val="ru-RU" w:eastAsia="ru-RU"/>
        </w:rPr>
        <w:br/>
      </w: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3.2. Первоначальной стоимостью объекта нематериальных активов, приобретаемого в результате необменной операции, является его справедливая стоимость на дату приобретения.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3.3. Продолжительность периода, в течение которого предполагается использовать НМА, ежегодно определяется Комиссией по поступлению и выбытию активов.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Срок полезного использования объекта НМА – секрета производства (ноу-хау) устанавливается исходя из срока, в течение которого соблюдается конфиденциальность сведений в отношении такого объекта, в том числе путем введения режима коммерческой тайны. Если срок охраны конфиденциальности не установлен, в учете возникает объект НМА с неопределенным сроком полезного использования.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Изменение продолжительности оставшегося периода использования НМА является существенным, если это изменение (разница между продолжительностью оставшегося текущего периода использования и предполагаемого) составляет 10 % или более от продолжительности оставшегося текущего периода. Срок полезного использования таких объектов НМА подлежит уточнению.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3.4. Первоначальная стоимость НМА, созданных учреждением, помимо затрат, указанных в </w:t>
      </w:r>
      <w:hyperlink r:id="rId11" w:anchor="/document/99/563895829/XA00M3C2MF/" w:tgtFrame="_self" w:tooltip="19. Объект, являющийся результатом научных исследований (научно-исследовательских разработок), а также опытно-конструкторских и технологических разработок, проводимых собственными силами субъекта учета, подлежит признанию в качестве вложений в объекты нематери" w:history="1">
        <w:r w:rsidRPr="0027038E">
          <w:rPr>
            <w:rFonts w:ascii="Times New Roman" w:eastAsia="Times New Roman" w:hAnsi="Times New Roman" w:cs="Times New Roman"/>
            <w:color w:val="01745C"/>
            <w:sz w:val="24"/>
            <w:szCs w:val="24"/>
            <w:lang w:val="ru-RU" w:eastAsia="ru-RU"/>
          </w:rPr>
          <w:t>пунктах 19–22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«Нематериальные активы», также включает:</w:t>
      </w:r>
    </w:p>
    <w:p w:rsidR="00FD1C3D" w:rsidRPr="0027038E" w:rsidRDefault="00FD1C3D" w:rsidP="00FD1C3D">
      <w:pPr>
        <w:numPr>
          <w:ilvl w:val="0"/>
          <w:numId w:val="15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расходы на приобретение инструментов, приспособлений, инвентаря, приборов, лабораторного оборудования, спецодежды;</w:t>
      </w:r>
    </w:p>
    <w:p w:rsidR="00FD1C3D" w:rsidRPr="0027038E" w:rsidRDefault="00FD1C3D" w:rsidP="00FD1C3D">
      <w:pPr>
        <w:numPr>
          <w:ilvl w:val="0"/>
          <w:numId w:val="15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расходы на заработную плату </w:t>
      </w:r>
      <w:proofErr w:type="spellStart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тестировщиков</w:t>
      </w:r>
      <w:proofErr w:type="spellEnd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программного обеспечения, созданного силами учреждения;</w:t>
      </w:r>
    </w:p>
    <w:p w:rsidR="00FD1C3D" w:rsidRPr="0027038E" w:rsidRDefault="00FD1C3D" w:rsidP="00FD1C3D">
      <w:pPr>
        <w:numPr>
          <w:ilvl w:val="0"/>
          <w:numId w:val="15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shd w:val="clear" w:color="auto" w:fill="FFFFCC"/>
          <w:lang w:val="ru-RU" w:eastAsia="ru-RU"/>
        </w:rPr>
        <w:t>…</w:t>
      </w:r>
    </w:p>
    <w:p w:rsidR="00FD1C3D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2" w:anchor="/document/99/563895829/XA00MFE2O5/" w:tooltip="В случае если предусмотрено учетной политикой субъекта учета, в бухгалтерской (финансовой) отчетности раскрываются дополнительные данные об остаточной стоимости объектов нематериальных активов на начало и конец периода с их подразделением на созданные силами с" w:history="1">
        <w:r w:rsidRPr="0027038E">
          <w:rPr>
            <w:rFonts w:ascii="Times New Roman" w:eastAsia="Times New Roman" w:hAnsi="Times New Roman" w:cs="Times New Roman"/>
            <w:color w:val="01745C"/>
            <w:sz w:val="24"/>
            <w:szCs w:val="24"/>
            <w:lang w:val="ru-RU" w:eastAsia="ru-RU"/>
          </w:rPr>
          <w:t>пункт 44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«Нематериальные активы».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lastRenderedPageBreak/>
        <w:t>Аналитический учет прав пользования активами ведется по объектам, полученным в пользование, правам пользования нематериальными активами, идентификационным номерам объектов нефинансовых активов (учетным номерам, кадастровым номерам (при наличии) и по правообладателям (арендодателям) в разрезе договоров (иных правовых оснований прав пользования нематериальными активами), мест нахождения имущества, полученного в пользование, а также ответственных лиц.</w:t>
      </w:r>
      <w:r w:rsidRPr="007D3E36">
        <w:rPr>
          <w:rFonts w:eastAsia="Times New Roman" w:cstheme="minorHAnsi"/>
          <w:b/>
          <w:bCs/>
          <w:color w:val="222222"/>
          <w:sz w:val="24"/>
          <w:szCs w:val="24"/>
          <w:lang w:val="ru-RU" w:eastAsia="ru-RU"/>
        </w:rPr>
        <w:br/>
      </w:r>
      <w:r w:rsidRPr="0027038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  <w:t>4. Непроизведенные активы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4.1. Объект непроизведенных активов, по которому комиссия по поступлению и выбытию активов установила, что он не соответствует условиям признания актива, учитывается на </w:t>
      </w:r>
      <w:proofErr w:type="spellStart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забалансовом</w:t>
      </w:r>
      <w:proofErr w:type="spellEnd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счете 02 «Материальные ценности, принятые на хранение».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3" w:anchor="/document/99/542619659/XA00M7E2ML/" w:tgtFrame="_self" w:tooltip="7. Объект непроизведенных активов подлежит признанию в бухгалтерском учете в составе нефинансовых активов при условии, что субъектом учета прогнозируется получение от его использования экономических выгод или полезного потенциала и первоначальную стоимость так" w:history="1">
        <w:r w:rsidRPr="0027038E">
          <w:rPr>
            <w:rStyle w:val="a7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пункты 7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«Непроизведенные активы»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4.2. Справедливая стоимость земельного участка, впервые вовлекаемого в хозяйственный оборот, на которые не разграничена государственная собственность и которые не внесены в ЕГРН, рассчитывается на основе кадастровой стоимости аналогичного земельного участка, который внесен в ЕГРН.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4" w:anchor="/document/99/542619659/XA00M902MS/" w:tgtFrame="_self" w:tooltip="17. Справедливой стоимостью земельных участков, впервые вовлекаемых в хозяйственный оборот, является:" w:history="1">
        <w:r w:rsidRPr="0027038E">
          <w:rPr>
            <w:rStyle w:val="a7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пункты 17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«Непроизведенные активы»</w:t>
      </w:r>
    </w:p>
    <w:p w:rsidR="00FD1C3D" w:rsidRPr="0027038E" w:rsidRDefault="00FD1C3D" w:rsidP="00FD1C3D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Материальные запасы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4.1. Учреждение учитывает в составе материальных запасов материальные объекты,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указанные в пунктах 98–99 Инструкции к Единому плану счетов № 157н, а также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производственный и хозяйственный инвентарь, перечень которого приведен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4.2. Единица учета материальных запасов в учреждении – номенклатурная (реестровая) единица. Исключение:</w:t>
      </w:r>
    </w:p>
    <w:p w:rsidR="00FD1C3D" w:rsidRDefault="00FD1C3D" w:rsidP="00FD1C3D">
      <w:pPr>
        <w:numPr>
          <w:ilvl w:val="0"/>
          <w:numId w:val="8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группы материальных запасов, характеристики которых совпадают,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: офисная бумага одного формата с одинаковым количеством листов в пачке, кнопки канцелярские с одинаковыми диаметром и количеством штук в коробке и т. д. Единица учета таких материальных запасов – однородная (реестровая) группа запасов;</w:t>
      </w:r>
    </w:p>
    <w:p w:rsidR="00FD1C3D" w:rsidRDefault="00FD1C3D" w:rsidP="00FD1C3D">
      <w:pPr>
        <w:numPr>
          <w:ilvl w:val="0"/>
          <w:numId w:val="8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материальные запасы с ограниченным сроком годности – продукты питания, медикаменты и другие, а также товары для продажи.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Единица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таких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материальных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запасов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партия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Решение о применении единиц учета «однородная (реестровая) группа запасов» и «партия» принимает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 на основе своего профессионального суждения.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8 СГС «Запасы».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4.3. Списание материальных запасов производится по средней фактической стоимости.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108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4.4. Нормы на расходы горюче-смазочных материалов (ГСМ) разрабатываются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специализированной организацией и утверждаются приказом руководителя учреждения.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Ежегодно приказом руководителя утверждаются период применения зимней надбавки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нормам расхода ГСМ и ее величина.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ГСМ списывается на расходы по фактическому расходу на основании путевых листов, 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 выше норм, установленных приказом руководителя учреждения.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4.5 Выдача в эксплуатацию на нужды учреждения канцелярских принадлежностей,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лекарственных препаратов, запасных частей и хозяйственных материалов оформляется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Ведомостью выдачи материальных ценностей на нужды учреждения (ф. 0504210). Эта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 является основанием для списания материальных запасов.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4.6. Мягкий и хозяйственный инвентарь, посуда списываются по Акту о списании мягкого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и  хозяйственного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инвентаря (ф. 0504143).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остальных случаях материальные запасы списываются по акту о списании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 (ф. 0504230).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4.7. Учет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09 «Запасные части к транспортным средствам,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выданные взамен изношенных» ведется в условной оценке 1 руб. за 1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шт. Учету подлежат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запасные части и другие комплектующие, которые могут быть использованы на других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автомобилях (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нетипизированные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запчасти и комплектующие), такие как:</w:t>
      </w:r>
    </w:p>
    <w:p w:rsidR="00FD1C3D" w:rsidRDefault="00FD1C3D" w:rsidP="00FD1C3D">
      <w:pPr>
        <w:numPr>
          <w:ilvl w:val="0"/>
          <w:numId w:val="9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автомобильные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9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колесные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диски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9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аккумуляторы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9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наборы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автоинструмента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9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аптечки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9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огнетушители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Аналитический учет по счету ведется в разрезе автомобилей и материально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ответственных лиц.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Поступление на счет 09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установке (передаче материально ответственному лицу) соответствующих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запчастей после списания со счета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1.105.36.44Х «Прочие материальные запасы –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иное движимое имущество учреждения»;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безвозмездном поступлении автомобиля от государственных (муниципальных)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учреждений с документальной передачей остатков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 09.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 безвозмездном получении от государственных (муниципальных) учреждений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запасных частей, учитываемых передающей стороной на счете 09, но не подлежащих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учету на указанном счете в соответствии с настоящей учетной политикой, оприходование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запчастей на счет 09 не производится.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Внутреннее перемещение по счету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– при передаче на другой автомобиль;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передаче другому материально ответственному лицу вместе с автомобилем.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Выбытие со счета 09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списании автомобиля по установленным основаниям;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установке новых запчастей взамен непригодных к эксплуатации.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349–350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4.8. Фактическая стоимость материальных запасов, полученных в результате ремонта,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разборки, утилизации (ликвидации) основных средств или иного имущества, определяется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исходя из: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их справедливой стоимости на дату принятия к бухгалтерскому учету, рассчитанной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методом рыночных цен;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сумм, уплачиваемых учреждением за доставку материальных запасов, приведение их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состояние, пригодное для использования.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52–60 СГС «Концептуальные основы бухучета и отчетности».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4.9. Приобретенные, но находящиеся в пути запасы признаются в бухгалтерском учете в оценке, предусмотренной государственным контрактом (договором). Если учреждение понесло затраты, перечисленные в пункте 102 Инструкции к Единому плану счетов № 157н, стоимость запасов увеличивается на сумму данных затрат в день поступления запасов в учреждение. Отклонения фактической стоимости материальных запасов от учетной цены отдельно в учете не отражаются.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18 СГС «Запасы».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4.10.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19 СГС «Запасы».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 Стоимость безвозмездно полученных нефинансовых активов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 Данные о справедливой стоимости безвозмездно полученных нефинансовых активов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должны быть подтверждены документально: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справками (другими подтверждающими документами) Росстата;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прайс-листами заводов-изготовителей;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справками (другими подтверждающими документами) оценщиков;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информацией, размещенной в СМИ, и т. д.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 случаях невозможности документального подтверждения стоимость определяется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экспертным путем.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Расчеты по доходам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6.1. Учреждение осуществляет бюджетные полномочия администратора доходов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бюджета. Порядок осуществления полномочий администратора доходов бюджета определяется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соответствии с законодательством России и нормативными документами ведомства.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Перечень администрируемых доходов утверждается главным администратором доходов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бюджета (вышестоящим ведомством).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 Расчеты с подотчетными лицами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7.1. Денежные средства выдаются под отчет на основании приказа руководителя или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служебной записки, согласованной с руководителем. Выдача денежных средств под отчет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производится путем: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выдачи из кассы. При этом выплаты подотчетных сумм сотрудникам производятся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течение трех рабочих дней, включая день получения денег в банке;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перечисления на зарплатную карту материально ответственного лица.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Способ выдачи денежных средств должен указывается в служебной записке или приказе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7.2. Учреждение выдает денежные средства под отчет штатным сотрудникам, а также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лицам, которые не состоят в штате, на основании отдельного приказа руководителя.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Расчеты по выданным суммам проходят в порядке, установленном для штатных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сотрудников.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7.3. Предельная сумма выдачи денежных средств под отчет (за исключением расходов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командировки) устанавливается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размере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000 (двадцать тысяч)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руб.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На основании распоряжения руководителя в исключительных случаях сумма может быть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увеличена (но не более лимита расчетов наличными средствами между юридическими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лицами) в соответствии с указанием Центрального банка.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указания ЦБ от 07.10.2013 № 3073-У.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7.4. Денежные средства выдаются под отчет на хозяйственные нужды на срок, который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 указал в заявлении на выдачу денежных средств под отчет, на срок 30 календарных дней. 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7.5. При направлении сотрудников учреждения в служебные командировки на территории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расходы на них возмещаются в соответствии с постановлением Правительства от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02.10.2002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729.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Возмещение расходов на служебные командировки, превышающих размер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установленный Правительством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РФ, производится при наличии экономии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 по фактическим расходам с разрешения руководителя учреждения,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оформленного приказом.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2, 3 постановления Правительства от 02.10.2002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729.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7.6. По возвращении из командировки сотрудник представляет авансовый отчет об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израсходованных суммах в течение трех рабочих дней.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26 постановления Правительства от 13.10.2008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749.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7.7. Предельные сроки отчета по выданным доверенностям на получение материальных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ценностей устанавливаются следующие: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 течение 10 календарных дней с момента получения;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 течение трех рабочих дней с момента получения материальных ценностей.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Доверенности выдаются штатным сотрудникам, с которыми заключен договор о полной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материальной ответственности.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7.8. Авансовые отчеты брошюруются в хронологическом порядке в последний день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отчетного месяца.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Расчеты с дебиторами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8.1. Учреждение администрирует поступления в бюджет на счете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1.210.02.000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правилам, установленным главным администратором доходов бюджета.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8.2. Излишне полученные от плательщиков средства возвращаются на основании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заявления плательщика и акта сверки с плательщиком.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8.3. Задолженность дебиторов в виде возмещения эксплуатационных и коммунальных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расходов отражается в учете на основании выставленного арендатору счета, счетов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поставщиков (подрядчиков), Бухгалтерской справки (ф. 0504833).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 Расчеты по обязательствам</w:t>
      </w:r>
    </w:p>
    <w:p w:rsidR="00FD1C3D" w:rsidRPr="007D3E36" w:rsidRDefault="00FD1C3D" w:rsidP="00FD1C3D">
      <w:pPr>
        <w:rPr>
          <w:rFonts w:cstheme="minorHAnsi"/>
          <w:color w:val="000000"/>
          <w:sz w:val="24"/>
          <w:szCs w:val="24"/>
          <w:lang w:val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Учет операций по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hyperlink r:id="rId15" w:anchor="100290" w:history="1">
        <w:r w:rsidRPr="007D3E36">
          <w:rPr>
            <w:rFonts w:cstheme="minorHAnsi"/>
            <w:color w:val="4272D7"/>
            <w:sz w:val="24"/>
            <w:szCs w:val="24"/>
            <w:u w:val="single"/>
            <w:shd w:val="clear" w:color="auto" w:fill="FFFFFF"/>
            <w:lang w:val="ru-RU"/>
          </w:rPr>
          <w:t>30300</w:t>
        </w:r>
      </w:hyperlink>
      <w:r w:rsidRPr="007D3E36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 xml:space="preserve">ведется в соответствии с содержанием факта хозяйственной жизни: в Журнале операций по оплате труда, в Журнале операций расчетов с поставщиками и подрядчиками - в части начисленных сумм налога на доходы физических лиц; в Журнале операций с безналичными денежными средствами - в части оплаты 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lastRenderedPageBreak/>
        <w:t>расчетов по платежам в бюджеты; в Журнале по прочим операциям - в части иных операций.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9.1. К счету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1.303.05.000 «Расчеты по прочим платежам в бюджет» применяются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дополнительные аналитические коды: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 – «Государственная пошлина»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1.303.15.000);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 – «Транспортный налог»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1.303.25.000);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 – «Пени, штрафы, санкции по налоговым платежам»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1.303.35.000);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9.2. Аналитический учет расчетов по пособиям и иным социальным выплатам ведется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разрезе</w:t>
      </w:r>
      <w:r w:rsidRPr="007D3E36">
        <w:rPr>
          <w:rFonts w:ascii="Arial" w:hAnsi="Arial" w:cs="Arial"/>
          <w:color w:val="212529"/>
          <w:shd w:val="clear" w:color="auto" w:fill="FFFFFF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физических лиц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получателей социальных выплат.</w:t>
      </w:r>
    </w:p>
    <w:p w:rsidR="00FD1C3D" w:rsidRPr="007D3E36" w:rsidRDefault="00FD1C3D" w:rsidP="00FD1C3D">
      <w:pPr>
        <w:rPr>
          <w:rFonts w:cstheme="minorHAnsi"/>
          <w:color w:val="000000"/>
          <w:sz w:val="24"/>
          <w:szCs w:val="24"/>
          <w:lang w:val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расчетов по пенсиям, пособиям и иным социальным выплатам ведется в Карточке учета средств и расчетов либо в Журнале по прочим операциям в порядке, установленном учреждением в рамках формирования учетной политики, в разрезе контрагентов (получателей выплат), групп контрагентов, учетных номеров денежных обязательств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9.3. Аналитический учет расчетов по оплате труда ведется в разрезе сотрудников и других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физических лиц, с которыми заключены гражданско-правовые договоры.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 Дебиторская и кредиторская задолженность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10.1. Дебиторская задолженность списывается с учета после того, как комиссия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поступлению и выбытию активов признает ее сомнительной или безнадежной к взысканию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в порядке, утвержденном положением о признании дебиторской задолженности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сомнительной и безнадежной к взысканию.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339 Инструкции к Единому плану счетов № 157н, пункт 11 СГС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«Доходы».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10.2. Кредиторская задолженность, не востребованная кредитором, списывается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финансовый результат на основании решения инвентаризационной комиссии о признании задолженности невостребованной.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Одновременно списанная с балансового учета кредиторская задолженность отражается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20 «Задолженность, не востребованная кредиторами».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С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задолженность списывается на основании решения инвентаризационной комиссии учреждения: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– по истечении пяти лет отражения задолженности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учете;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по завершении срока возможного возобновления процедуры взыскания задолженности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согласно действующему законодательству;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– при наличии документов, подтверждающих прекращение обязательства в связи со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смертью (ликвидацией) контрагента.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Кредиторская задолженность списывается с баланса отдельно по каждому обязательству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(кредитору).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371, 372 Инструкции к Единому плану счетов № 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 Финансовый результат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11.1. Учреждение все расходы производит в соответствии с утвержденной на отчетный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год бюджетной сметой и в пределах установленных норм:</w:t>
      </w:r>
    </w:p>
    <w:p w:rsidR="00FD1C3D" w:rsidRDefault="00FD1C3D" w:rsidP="00FD1C3D">
      <w:pPr>
        <w:numPr>
          <w:ilvl w:val="0"/>
          <w:numId w:val="10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на междугородние переговоры, услуги по доступу в Интернет – по фактическому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расходу;</w:t>
      </w:r>
    </w:p>
    <w:p w:rsidR="00FD1C3D" w:rsidRDefault="00FD1C3D" w:rsidP="00FD1C3D">
      <w:pPr>
        <w:numPr>
          <w:ilvl w:val="0"/>
          <w:numId w:val="10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пользование услугами сотовой связи – по лимиту, утвержденному распоряжением руководителя учреждения.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11.2. В составе расходов будущих периодов на счете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1.401.50.000 «Расходы будущих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периодов» отражаются расходы по:</w:t>
      </w:r>
    </w:p>
    <w:p w:rsidR="00FD1C3D" w:rsidRDefault="00FD1C3D" w:rsidP="00FD1C3D">
      <w:pPr>
        <w:numPr>
          <w:ilvl w:val="0"/>
          <w:numId w:val="11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страхованию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имущества,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гражданской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11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приобретению неисключительного права пользования нематериальными активами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течение нескольких отчетных периодов;</w:t>
      </w:r>
    </w:p>
    <w:p w:rsidR="00FD1C3D" w:rsidRDefault="00FD1C3D" w:rsidP="00FD1C3D">
      <w:pPr>
        <w:numPr>
          <w:ilvl w:val="0"/>
          <w:numId w:val="11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Расходы будущих периодов списываются на финансовый результат текущего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финансового года равномерно по 1/12 за месяц в течение периода, к которому они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относятся.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договорам страхования, а также договорам неисключительного права пользования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период, к которому относятся расходы, равен сроку действия договора. По другим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расходам, которые относятся к будущим периодам, длительность периода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устанавливается руководителем учреждения в приказе.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302, 302.1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11.3. В случае заключения лицензионного договора на право использования результата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интеллектуальной деятельности или средства индивидуализации единовременные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платежи за право включаются в расходы будущих периодов. Такие расходы списываются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 финансовый результат текущего периода ежемесячно в последний день месяца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течение срока действия договора.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66 Инструкции к Единому плану счетов № 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11.4 </w:t>
      </w:r>
      <w:r>
        <w:rPr>
          <w:rFonts w:hAnsi="Times New Roman" w:cs="Times New Roman"/>
          <w:i/>
          <w:iCs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учреждении создаются: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резерв на предстоящую оплату отпусков. Порядок расчета резерва приведен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приложении 8;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резерв по претензионным требованиям – в случае, когда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учреждение является стороной судебного разбирательства. Величина резерва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устанавливается в размере претензии, предъявленной учреждению в судебном иске, либо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претензионных документах досудебного разбирательства. В случае если претензии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отозваны или не признаны судом, сумма резерва списывается с учета методом «красное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сторно</w:t>
      </w:r>
      <w:proofErr w:type="spellEnd"/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резерв по гарантийному ремонту.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изделий. Величина резерва равна доле фактических расходов на гарантийный ремонт за предшествующие три года в объеме выручки за предшествующие три года.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302, 302.1 Инструкции к Единому плану счетов № 157н, пункты 7, 21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СГС  «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Резервы».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 Санкционирование расходов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Принятие бюджетных (денежных) обязательств к учету осуществлять в пределах лимитов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бюджетных обязательств в порядке, приведенном в приложении 9.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13. События после отчетной даты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Признание в учете и раскрытие в бюджетной отчетности событий после отчетной даты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осуществляется в порядке, приведенном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10.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Инвентаризация имущества и обязательств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Инвентаризацию имущества и обязательств (в т. ч. числящихся на забалансовых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счетах), а также финансовых результатов (в т. ч. расходов будущих периодов и резервов)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проводит постоянно действующая инвентаризационная комиссия. Порядок и график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инвентаризации приведены в приложении 14.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В отдельных случаях (при смене материально ответственных лиц, выявлении фактов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хищения, стихийных бедствиях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инвентаризацию может проводить специально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созданная рабочая комиссия, состав которой утверждается отельным приказом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Основание: статья 11 Закона от 06.12.2011 № 402-ФЗ, раздел </w:t>
      </w:r>
      <w:r>
        <w:rPr>
          <w:rFonts w:hAnsi="Times New Roman" w:cs="Times New Roman"/>
          <w:color w:val="000000"/>
          <w:sz w:val="24"/>
          <w:szCs w:val="24"/>
        </w:rPr>
        <w:t>VIII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СГС «Концептуальные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основы бухучета и отчетности».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 Руководителями обособленных структурных подразделений создаются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инвентаризационные комиссии из числа сотрудников подразделения приказом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подразделению.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организации и обеспечения внутреннего финансового контроля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Внутренний финансовый контроль в учреждении осуществляет комиссия. Помимо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 постоянный текущий контроль в ходе своей деятельности осуществляют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рамках своих полномочий: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руководитель учреждения, его заместители;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главный бухгалтер, сотрудники бухгалтерии;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начальник планово-экономического отдела, сотрудники отдела;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начальник юридического отдела, сотрудники отдела;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иные должностные лица учреждения в соответствии со своими обязанностями.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Положение о внутреннем финансовом контроле и график проведения внутренних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проверок финансово-хозяйственной деятельности приведены в приложении 11.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Бюджетная отчетность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Бюджетная отчетность составляется на основании аналитического и синтетического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по формам, в объеме и в сроки, установленные вышестоящей организацией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бюджетным законодательством (приказ Минфина от 28.12.2010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191н). Бюджетная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отчетность представляется главному распорядителю бюджетных средств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установленные им сроки.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Для обособленных структурных подразделений, наделенных частичными полномочиями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юридического лица, устанавливаются следующие сроки представления бюджетной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квартальные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до 10-го числа месяца, следующего за отчетным периодом;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годовой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до 17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января года, следующего за отчетным годом.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Обособленные структурные подразделения представляют отчетность главному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бухгалтеру учреждения.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 В целях составления отчета о движении денежных средств величина денежных средств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определяется прямым методом и рассчитывается как разница между всеми денежными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притоками учреждения от всех видов деятельности и их оттоками.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19 СГС «Отчет о движении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Бюджетная отчетность формируется и хранится в виде электронного документа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информационной системе «Бюджет». Бумажная копия комплекта отчетности хранится 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главного бухгалтера.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7.1 статьи 13 Закона от 06.12.2011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402-ФЗ.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1C3D" w:rsidRDefault="00FD1C3D" w:rsidP="00FD1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IX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передачи документов бухгалтерского учета</w:t>
      </w:r>
      <w:r>
        <w:rPr>
          <w:lang w:val="ru-RU"/>
        </w:rPr>
        <w:br/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 смене руководителя и главного бухгалтера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При смене руководителя или главного бухгалтера учреждения (далее – увольняемые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лица) они обязаны в рамках передачи дел заместителю, новому должностному лицу,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иному уполномоченному должностному лицу учреждения (далее – уполномоченное лицо)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передать документы бухгалтерского учета, а также печати и штампы, хранящиеся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Передача бухгалтерских документов и печатей проводится на основании приказа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 учреждения или Комитета образования, осуществляющего функции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полномочия учредителя (далее – учредитель).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Передача документов бухучета, печатей и штампов осуществляется при участии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комиссии, создаваемой в учреждении.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Прием-передача бухгалтерских документов оформляется актом приема-передачи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бухгалтерских документов. К акту прилагается перечень передаваемых документов, 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количество и тип.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приема-передачи дел должен полностью отражать все существенные недостатки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нарушения в организации работы бухгалтерии.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приема-передачи подписывается уполномоченным лицом, принимающим дела,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членами комиссии.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 необходимости члены комиссии включают в акт свои рекомендации и предложения,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которые возникли при приеме-передаче дел.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комиссию, указанную в пункте 3 настоящего Порядка, включаются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 (или) учредителя в соответствии с приказом на передачу бухгалтерских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документов.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учетная политика со всеми приложениями;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квартальные и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годовые бухгалтерские отчеты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 балансы, налоговые декларации;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планированию, в том числе бюджетная смета учреждения, план-график закупок,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обоснования к планам;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бухгалтерские регистры синтетического и аналитического учета: книги, оборотные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ведомости, карточки, журналы операций;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регистры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задолженности учреждения, в том числе по уплате налогов;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состоянии лицевых счетов учреждения;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учету зарплаты и по персонифицированному учету;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кассе: кассовые книги, журналы, расходные и приходные кассовые ордера,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денежные документы и т. д.;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о состоянии кассы, составленный на основании ревизии кассы и скрепленный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подписью главного бухгалтера;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 условиях хранения и учета наличных денежных средств;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договоры с поставщиками и подрядчиками, контрагентами, аренды и т. д.;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договоры с покупателями услуг и работ, подрядчиками и поставщиками;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учредительные документы и свидетельства: постановка на учет, присвоение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номеров, внесение записей в единый реестр, коды и т. п.;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недвижимом имуществе, транспортных средствах учреждения: свидетельства о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праве собственности, выписки из ЕГРП, паспорта транспортных средств и т. п.;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 основных средствах, нематериальных активах и товарно-материальных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ценностях;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акты о результатах полной инвентаризации имущества и финансовых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обязательств учреждения с приложением инвентаризационных описей, акта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проверки кассы учреждения;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акты сверки расчетов, подтверждающие состояние дебиторской и кредиторской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задолженности, перечень нереальных к взысканию сумм дебиторской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задолженности с исчерпывающей характеристикой по каждой сумме;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ревизий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материалы о недостачах и хищениях, переданных и не переданных в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правоохранительные органы;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бланки строгой отчетности;</w:t>
      </w:r>
    </w:p>
    <w:p w:rsidR="00FD1C3D" w:rsidRDefault="00FD1C3D" w:rsidP="00FD1C3D">
      <w:pPr>
        <w:numPr>
          <w:ilvl w:val="0"/>
          <w:numId w:val="12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иная бухгалтерская документация, свидетельствующая о деятельности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При подписании акта приема-передачи при наличии возражений по пунктам акта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руководитель и (или) уполномоченное лицо излагают их в письменной форме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присутствии комиссии.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Члены комиссии, имеющие замечания по содержанию акта, подписывают его с отметкой «Замечания прилагаются». Текст замечаний излагается на отдельном листе, небольшие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объему замечания допускается фиксировать на самом акте.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 Акт приема-передачи оформляется в последний рабочий день увольняемого лица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учреждении.</w:t>
      </w:r>
    </w:p>
    <w:p w:rsidR="00FD1C3D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Акт приема-передачи дел составляется в трех экземплярах: 1-й экземпляр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учредителю (руководителю учреждения, если увольняется главный бухгалтер), 2-й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экземпляр – увольняемому лицу, 3-й экземпляр – уполномоченному лицу, которое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принимало дела.</w:t>
      </w:r>
    </w:p>
    <w:p w:rsidR="00FD1C3D" w:rsidRPr="00C05F57" w:rsidRDefault="00FD1C3D" w:rsidP="00FD1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70"/>
        <w:gridCol w:w="1714"/>
        <w:gridCol w:w="3026"/>
      </w:tblGrid>
      <w:tr w:rsidR="00FD1C3D" w:rsidTr="00537A3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D1C3D" w:rsidRDefault="00FD1C3D" w:rsidP="00537A3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D1C3D" w:rsidRDefault="00FD1C3D" w:rsidP="00537A3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D1C3D" w:rsidRDefault="00FD1C3D" w:rsidP="00537A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1C3D" w:rsidTr="00537A35">
        <w:tc>
          <w:tcPr>
            <w:tcW w:w="55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1C3D" w:rsidRDefault="00FD1C3D" w:rsidP="00537A3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1C3D" w:rsidRDefault="00FD1C3D" w:rsidP="00537A3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1C3D" w:rsidRDefault="00FD1C3D" w:rsidP="00537A3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D1C3D" w:rsidRDefault="00FD1C3D" w:rsidP="00FD1C3D"/>
    <w:p w:rsidR="00C05F57" w:rsidRDefault="00C05F57" w:rsidP="00FD1C3D">
      <w:pPr>
        <w:jc w:val="center"/>
      </w:pPr>
    </w:p>
    <w:sectPr w:rsidR="00C05F57" w:rsidSect="00E33BF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7E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D240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FD62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D145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35494B"/>
    <w:multiLevelType w:val="multilevel"/>
    <w:tmpl w:val="F9221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3C49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CD76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8C43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BD31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BB67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170F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FE35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9549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573C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057F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14"/>
  </w:num>
  <w:num w:numId="6">
    <w:abstractNumId w:val="7"/>
  </w:num>
  <w:num w:numId="7">
    <w:abstractNumId w:val="13"/>
  </w:num>
  <w:num w:numId="8">
    <w:abstractNumId w:val="10"/>
  </w:num>
  <w:num w:numId="9">
    <w:abstractNumId w:val="1"/>
  </w:num>
  <w:num w:numId="10">
    <w:abstractNumId w:val="11"/>
  </w:num>
  <w:num w:numId="11">
    <w:abstractNumId w:val="9"/>
  </w:num>
  <w:num w:numId="12">
    <w:abstractNumId w:val="12"/>
  </w:num>
  <w:num w:numId="13">
    <w:abstractNumId w:val="3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ignoreMixedContent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25039"/>
    <w:rsid w:val="00026250"/>
    <w:rsid w:val="001027E7"/>
    <w:rsid w:val="00185574"/>
    <w:rsid w:val="001F5344"/>
    <w:rsid w:val="00222A47"/>
    <w:rsid w:val="00230CC2"/>
    <w:rsid w:val="002342BB"/>
    <w:rsid w:val="00276DE1"/>
    <w:rsid w:val="00287F55"/>
    <w:rsid w:val="002D33B1"/>
    <w:rsid w:val="002D3591"/>
    <w:rsid w:val="00310CA5"/>
    <w:rsid w:val="003514A0"/>
    <w:rsid w:val="003C6250"/>
    <w:rsid w:val="0046654A"/>
    <w:rsid w:val="004765E2"/>
    <w:rsid w:val="004902CF"/>
    <w:rsid w:val="00490F45"/>
    <w:rsid w:val="004F7E17"/>
    <w:rsid w:val="00505578"/>
    <w:rsid w:val="00511B14"/>
    <w:rsid w:val="00552DF2"/>
    <w:rsid w:val="00561746"/>
    <w:rsid w:val="005A05CE"/>
    <w:rsid w:val="005B1320"/>
    <w:rsid w:val="005E4F12"/>
    <w:rsid w:val="005F4924"/>
    <w:rsid w:val="006305C3"/>
    <w:rsid w:val="0064693C"/>
    <w:rsid w:val="00653AF6"/>
    <w:rsid w:val="00666B94"/>
    <w:rsid w:val="006B47B7"/>
    <w:rsid w:val="00744D8F"/>
    <w:rsid w:val="00761797"/>
    <w:rsid w:val="007F581D"/>
    <w:rsid w:val="008161BB"/>
    <w:rsid w:val="00822186"/>
    <w:rsid w:val="00891CBF"/>
    <w:rsid w:val="008E22CA"/>
    <w:rsid w:val="009A296B"/>
    <w:rsid w:val="00A10424"/>
    <w:rsid w:val="00A20A63"/>
    <w:rsid w:val="00A408A0"/>
    <w:rsid w:val="00A85CF1"/>
    <w:rsid w:val="00AC663E"/>
    <w:rsid w:val="00AE72BB"/>
    <w:rsid w:val="00B72C10"/>
    <w:rsid w:val="00B73A5A"/>
    <w:rsid w:val="00BB58E4"/>
    <w:rsid w:val="00BD6FE8"/>
    <w:rsid w:val="00C05F57"/>
    <w:rsid w:val="00C30C57"/>
    <w:rsid w:val="00CF405B"/>
    <w:rsid w:val="00D15F8E"/>
    <w:rsid w:val="00D25A3A"/>
    <w:rsid w:val="00D47FE1"/>
    <w:rsid w:val="00D729CE"/>
    <w:rsid w:val="00D856EA"/>
    <w:rsid w:val="00D9042E"/>
    <w:rsid w:val="00D91E84"/>
    <w:rsid w:val="00E246AC"/>
    <w:rsid w:val="00E33BFE"/>
    <w:rsid w:val="00E438A1"/>
    <w:rsid w:val="00E909FB"/>
    <w:rsid w:val="00EB3796"/>
    <w:rsid w:val="00F01E19"/>
    <w:rsid w:val="00F55DF5"/>
    <w:rsid w:val="00FB2E00"/>
    <w:rsid w:val="00FD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165A86-480D-4DFA-9B25-83F52A09D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A85CF1"/>
    <w:rPr>
      <w:rFonts w:ascii="Times New Roman" w:eastAsia="Times New Roman" w:hAnsi="Times New Roman" w:cs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891CB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1CBF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856EA"/>
    <w:pPr>
      <w:spacing w:before="0" w:after="0"/>
    </w:pPr>
  </w:style>
  <w:style w:type="character" w:styleId="a7">
    <w:name w:val="Hyperlink"/>
    <w:basedOn w:val="a0"/>
    <w:uiPriority w:val="99"/>
    <w:unhideWhenUsed/>
    <w:rsid w:val="00FD1C3D"/>
    <w:rPr>
      <w:color w:val="0000FF" w:themeColor="hyperlink"/>
      <w:u w:val="single"/>
    </w:rPr>
  </w:style>
  <w:style w:type="paragraph" w:customStyle="1" w:styleId="pcenter">
    <w:name w:val="pcenter"/>
    <w:basedOn w:val="a"/>
    <w:rsid w:val="00FD1C3D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9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prikaz-minfina-rf-ot-01122010-n-157n/" TargetMode="External"/><Relationship Id="rId13" Type="http://schemas.openxmlformats.org/officeDocument/2006/relationships/hyperlink" Target="https://www.gosfinans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alacts.ru/doc/prikaz-minfina-rf-ot-01122010-n-157n/" TargetMode="External"/><Relationship Id="rId12" Type="http://schemas.openxmlformats.org/officeDocument/2006/relationships/hyperlink" Target="https://www.gosfinansy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galacts.ru/doc/prikaz-minfina-rf-ot-01122010-n-157n/" TargetMode="External"/><Relationship Id="rId11" Type="http://schemas.openxmlformats.org/officeDocument/2006/relationships/hyperlink" Target="https://www.gosfinansy.ru/" TargetMode="External"/><Relationship Id="rId5" Type="http://schemas.openxmlformats.org/officeDocument/2006/relationships/hyperlink" Target="https://legalacts.ru/doc/prikaz-minfina-rf-ot-01122010-n-157n/" TargetMode="External"/><Relationship Id="rId15" Type="http://schemas.openxmlformats.org/officeDocument/2006/relationships/hyperlink" Target="https://legalacts.ru/doc/prikaz-minfina-rf-ot-01122010-n-157n/" TargetMode="External"/><Relationship Id="rId10" Type="http://schemas.openxmlformats.org/officeDocument/2006/relationships/hyperlink" Target="https://legalacts.ru/doc/prikaz-minfina-rf-ot-01122010-n-157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alacts.ru/doc/prikaz-minfina-rf-ot-01122010-n-157n/" TargetMode="External"/><Relationship Id="rId14" Type="http://schemas.openxmlformats.org/officeDocument/2006/relationships/hyperlink" Target="https://www.gosfinans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7581</Words>
  <Characters>43216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Пользователь Windows</cp:lastModifiedBy>
  <cp:revision>51</cp:revision>
  <cp:lastPrinted>2024-01-11T09:58:00Z</cp:lastPrinted>
  <dcterms:created xsi:type="dcterms:W3CDTF">2020-02-21T09:29:00Z</dcterms:created>
  <dcterms:modified xsi:type="dcterms:W3CDTF">2024-01-11T10:21:00Z</dcterms:modified>
</cp:coreProperties>
</file>